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D89" w:rsidRPr="00902993" w:rsidRDefault="00733D89" w:rsidP="00733D89">
      <w:pPr>
        <w:pStyle w:val="En-tte"/>
        <w:jc w:val="center"/>
        <w:rPr>
          <w:rFonts w:asciiTheme="majorBidi" w:hAnsiTheme="majorBidi" w:cstheme="majorBidi"/>
          <w:b/>
          <w:bCs/>
          <w:sz w:val="24"/>
          <w:szCs w:val="24"/>
        </w:rPr>
      </w:pPr>
      <w:bookmarkStart w:id="0" w:name="_GoBack"/>
      <w:bookmarkEnd w:id="0"/>
      <w:r w:rsidRPr="00902993">
        <w:rPr>
          <w:rFonts w:asciiTheme="majorBidi" w:hAnsiTheme="majorBidi" w:cstheme="majorBidi"/>
          <w:b/>
          <w:bCs/>
          <w:sz w:val="24"/>
          <w:szCs w:val="24"/>
        </w:rPr>
        <w:t xml:space="preserve">Université </w:t>
      </w:r>
      <w:proofErr w:type="spellStart"/>
      <w:r w:rsidRPr="00902993">
        <w:rPr>
          <w:rFonts w:asciiTheme="majorBidi" w:hAnsiTheme="majorBidi" w:cstheme="majorBidi"/>
          <w:b/>
          <w:bCs/>
          <w:sz w:val="24"/>
          <w:szCs w:val="24"/>
        </w:rPr>
        <w:t>Badji</w:t>
      </w:r>
      <w:proofErr w:type="spellEnd"/>
      <w:r w:rsidRPr="00902993">
        <w:rPr>
          <w:rFonts w:asciiTheme="majorBidi" w:hAnsiTheme="majorBidi" w:cstheme="majorBidi"/>
          <w:b/>
          <w:bCs/>
          <w:sz w:val="24"/>
          <w:szCs w:val="24"/>
        </w:rPr>
        <w:t xml:space="preserve"> Mokhtar Annaba</w:t>
      </w:r>
    </w:p>
    <w:p w:rsidR="00733D89" w:rsidRPr="00902993" w:rsidRDefault="00733D89" w:rsidP="00733D89">
      <w:pPr>
        <w:pStyle w:val="En-tte"/>
        <w:jc w:val="center"/>
        <w:rPr>
          <w:rFonts w:asciiTheme="majorBidi" w:hAnsiTheme="majorBidi" w:cstheme="majorBidi"/>
          <w:b/>
          <w:bCs/>
          <w:sz w:val="24"/>
          <w:szCs w:val="24"/>
        </w:rPr>
      </w:pPr>
      <w:r w:rsidRPr="00902993">
        <w:rPr>
          <w:rFonts w:asciiTheme="majorBidi" w:hAnsiTheme="majorBidi" w:cstheme="majorBidi"/>
          <w:b/>
          <w:bCs/>
          <w:sz w:val="24"/>
          <w:szCs w:val="24"/>
        </w:rPr>
        <w:t>Faculté des sciences - Département de chimie</w:t>
      </w:r>
    </w:p>
    <w:p w:rsidR="00733D89" w:rsidRPr="00902993" w:rsidRDefault="00733D89" w:rsidP="00733D89">
      <w:pPr>
        <w:pStyle w:val="En-tte"/>
        <w:jc w:val="center"/>
        <w:rPr>
          <w:rFonts w:asciiTheme="majorBidi" w:hAnsiTheme="majorBidi" w:cstheme="majorBidi"/>
          <w:b/>
          <w:bCs/>
          <w:sz w:val="24"/>
          <w:szCs w:val="24"/>
        </w:rPr>
      </w:pPr>
      <w:r w:rsidRPr="00902993">
        <w:rPr>
          <w:rFonts w:asciiTheme="majorBidi" w:hAnsiTheme="majorBidi" w:cstheme="majorBidi"/>
          <w:b/>
          <w:bCs/>
          <w:sz w:val="24"/>
          <w:szCs w:val="24"/>
        </w:rPr>
        <w:t xml:space="preserve">Examen final </w:t>
      </w:r>
      <w:r>
        <w:rPr>
          <w:rFonts w:asciiTheme="majorBidi" w:hAnsiTheme="majorBidi" w:cstheme="majorBidi"/>
          <w:b/>
          <w:bCs/>
          <w:sz w:val="24"/>
          <w:szCs w:val="24"/>
        </w:rPr>
        <w:t>T</w:t>
      </w:r>
      <w:r w:rsidRPr="00902993">
        <w:rPr>
          <w:rFonts w:asciiTheme="majorBidi" w:hAnsiTheme="majorBidi" w:cstheme="majorBidi"/>
          <w:b/>
          <w:bCs/>
          <w:sz w:val="24"/>
          <w:szCs w:val="24"/>
        </w:rPr>
        <w:t>echniques</w:t>
      </w:r>
      <w:r>
        <w:rPr>
          <w:rFonts w:asciiTheme="majorBidi" w:hAnsiTheme="majorBidi" w:cstheme="majorBidi"/>
          <w:b/>
          <w:bCs/>
          <w:sz w:val="24"/>
          <w:szCs w:val="24"/>
        </w:rPr>
        <w:t xml:space="preserve"> P</w:t>
      </w:r>
      <w:r w:rsidRPr="00902993">
        <w:rPr>
          <w:rFonts w:asciiTheme="majorBidi" w:hAnsiTheme="majorBidi" w:cstheme="majorBidi"/>
          <w:b/>
          <w:bCs/>
          <w:sz w:val="24"/>
          <w:szCs w:val="24"/>
        </w:rPr>
        <w:t>harmaceutiques</w:t>
      </w:r>
      <w:r>
        <w:rPr>
          <w:rFonts w:asciiTheme="majorBidi" w:hAnsiTheme="majorBidi" w:cstheme="majorBidi"/>
          <w:b/>
          <w:bCs/>
          <w:sz w:val="24"/>
          <w:szCs w:val="24"/>
        </w:rPr>
        <w:t xml:space="preserve"> I</w:t>
      </w:r>
      <w:r w:rsidRPr="00902993">
        <w:rPr>
          <w:rFonts w:asciiTheme="majorBidi" w:hAnsiTheme="majorBidi" w:cstheme="majorBidi"/>
          <w:b/>
          <w:bCs/>
          <w:sz w:val="24"/>
          <w:szCs w:val="24"/>
        </w:rPr>
        <w:t>ndustrielles</w:t>
      </w:r>
    </w:p>
    <w:p w:rsidR="00733D89" w:rsidRPr="00902993" w:rsidRDefault="00733D89" w:rsidP="00733D89">
      <w:pPr>
        <w:pStyle w:val="En-tte"/>
        <w:jc w:val="center"/>
        <w:rPr>
          <w:rFonts w:asciiTheme="majorBidi" w:hAnsiTheme="majorBidi" w:cstheme="majorBidi"/>
          <w:b/>
          <w:bCs/>
          <w:sz w:val="24"/>
          <w:szCs w:val="24"/>
        </w:rPr>
      </w:pPr>
      <w:r w:rsidRPr="00902993">
        <w:rPr>
          <w:rFonts w:asciiTheme="majorBidi" w:hAnsiTheme="majorBidi" w:cstheme="majorBidi"/>
          <w:b/>
          <w:bCs/>
          <w:sz w:val="24"/>
          <w:szCs w:val="24"/>
        </w:rPr>
        <w:t xml:space="preserve">Durée : 1 h </w:t>
      </w:r>
    </w:p>
    <w:p w:rsidR="00733D89" w:rsidRPr="00902993" w:rsidRDefault="00733D89" w:rsidP="00733D89">
      <w:pPr>
        <w:ind w:firstLine="0"/>
        <w:rPr>
          <w:rFonts w:asciiTheme="majorBidi" w:hAnsiTheme="majorBidi" w:cstheme="majorBidi"/>
          <w:sz w:val="24"/>
          <w:szCs w:val="24"/>
        </w:rPr>
      </w:pPr>
      <w:r w:rsidRPr="00902993">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14:anchorId="105B57D6" wp14:editId="1B455CC6">
                <wp:simplePos x="0" y="0"/>
                <wp:positionH relativeFrom="margin">
                  <wp:align>center</wp:align>
                </wp:positionH>
                <wp:positionV relativeFrom="paragraph">
                  <wp:posOffset>104140</wp:posOffset>
                </wp:positionV>
                <wp:extent cx="559117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591175" cy="1905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B5EABD0" id="Connecteur droit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8.2pt" to="44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" strokecolor="black [3213]" strokeweight="1pt">
                <v:stroke joinstyle="miter"/>
                <w10:wrap anchorx="margin"/>
              </v:line>
            </w:pict>
          </mc:Fallback>
        </mc:AlternateContent>
      </w:r>
    </w:p>
    <w:p w:rsidR="00733D89" w:rsidRPr="00902993" w:rsidRDefault="00733D89" w:rsidP="00733D89">
      <w:pPr>
        <w:ind w:firstLine="0"/>
        <w:rPr>
          <w:rFonts w:asciiTheme="majorBidi" w:hAnsiTheme="majorBidi" w:cstheme="majorBidi"/>
          <w:b/>
          <w:bCs/>
          <w:sz w:val="24"/>
          <w:szCs w:val="24"/>
        </w:rPr>
      </w:pPr>
      <w:r w:rsidRPr="00902993">
        <w:rPr>
          <w:rFonts w:asciiTheme="majorBidi" w:hAnsiTheme="majorBidi" w:cstheme="majorBidi"/>
          <w:b/>
          <w:bCs/>
          <w:sz w:val="24"/>
          <w:szCs w:val="24"/>
        </w:rPr>
        <w:t>Exercice 1 : (4 pts)</w:t>
      </w:r>
    </w:p>
    <w:p w:rsidR="00733D89" w:rsidRPr="00E844E7" w:rsidRDefault="00733D89" w:rsidP="00733D89">
      <w:pPr>
        <w:pStyle w:val="Paragraphedeliste"/>
        <w:numPr>
          <w:ilvl w:val="0"/>
          <w:numId w:val="1"/>
        </w:numPr>
        <w:rPr>
          <w:rFonts w:asciiTheme="majorBidi" w:hAnsiTheme="majorBidi" w:cstheme="majorBidi"/>
          <w:sz w:val="24"/>
          <w:szCs w:val="24"/>
        </w:rPr>
      </w:pPr>
      <w:r w:rsidRPr="00902993">
        <w:rPr>
          <w:rFonts w:asciiTheme="majorBidi" w:hAnsiTheme="majorBidi" w:cstheme="majorBidi"/>
          <w:sz w:val="24"/>
          <w:szCs w:val="24"/>
        </w:rPr>
        <w:t xml:space="preserve">Définir l’opération de dessiccation et l’objectif de sa réalisation </w:t>
      </w:r>
      <w:r w:rsidRPr="00733D89">
        <w:rPr>
          <w:rFonts w:asciiTheme="majorBidi" w:hAnsiTheme="majorBidi" w:cstheme="majorBidi"/>
          <w:b/>
          <w:bCs/>
          <w:sz w:val="24"/>
          <w:szCs w:val="24"/>
        </w:rPr>
        <w:t>(1 pts)</w:t>
      </w:r>
    </w:p>
    <w:p w:rsidR="00E844E7" w:rsidRPr="005D1FBF" w:rsidRDefault="00E844E7" w:rsidP="00E844E7">
      <w:pPr>
        <w:rPr>
          <w:rFonts w:asciiTheme="majorBidi" w:hAnsiTheme="majorBidi" w:cstheme="majorBidi"/>
          <w:b/>
          <w:bCs/>
          <w:sz w:val="24"/>
          <w:szCs w:val="24"/>
        </w:rPr>
      </w:pPr>
      <w:r w:rsidRPr="005D1FBF">
        <w:rPr>
          <w:b/>
          <w:bCs/>
        </w:rPr>
        <w:t xml:space="preserve">La dessiccation ou séchage a pour but d’éliminer par vaporisation un corps liquide volatil contenu dans un autre corps non volatil. En pharmacie, le liquide volatil est généralement l’eau et le corps à sécher solide. Cette opération intervient à de nombreux niveaux : </w:t>
      </w:r>
      <w:r w:rsidRPr="005D1FBF">
        <w:rPr>
          <w:b/>
          <w:bCs/>
        </w:rPr>
        <w:sym w:font="Symbol" w:char="F0B7"/>
      </w:r>
      <w:r w:rsidRPr="005D1FBF">
        <w:rPr>
          <w:b/>
          <w:bCs/>
        </w:rPr>
        <w:t xml:space="preserve"> soit pour transformer un produit liquide ou pâteux en produit solide, </w:t>
      </w:r>
      <w:r w:rsidRPr="005D1FBF">
        <w:rPr>
          <w:b/>
          <w:bCs/>
        </w:rPr>
        <w:sym w:font="Symbol" w:char="F0B7"/>
      </w:r>
      <w:r w:rsidRPr="005D1FBF">
        <w:rPr>
          <w:b/>
          <w:bCs/>
        </w:rPr>
        <w:t xml:space="preserve"> soit pour éliminer l’eau, facteur d’instabilité.</w:t>
      </w:r>
    </w:p>
    <w:p w:rsidR="00733D89" w:rsidRDefault="00733D89" w:rsidP="00733D89">
      <w:pPr>
        <w:pStyle w:val="Paragraphedeliste"/>
        <w:numPr>
          <w:ilvl w:val="0"/>
          <w:numId w:val="1"/>
        </w:numPr>
        <w:rPr>
          <w:rFonts w:asciiTheme="majorBidi" w:hAnsiTheme="majorBidi" w:cstheme="majorBidi"/>
          <w:b/>
          <w:bCs/>
          <w:sz w:val="24"/>
          <w:szCs w:val="24"/>
        </w:rPr>
      </w:pPr>
      <w:r w:rsidRPr="00902993">
        <w:rPr>
          <w:rFonts w:asciiTheme="majorBidi" w:hAnsiTheme="majorBidi" w:cstheme="majorBidi"/>
          <w:sz w:val="24"/>
          <w:szCs w:val="24"/>
        </w:rPr>
        <w:t xml:space="preserve">Décrire le procédé de séchage par nébulisation </w:t>
      </w:r>
      <w:r>
        <w:rPr>
          <w:rFonts w:asciiTheme="majorBidi" w:hAnsiTheme="majorBidi" w:cstheme="majorBidi"/>
          <w:sz w:val="24"/>
          <w:szCs w:val="24"/>
        </w:rPr>
        <w:t>et e</w:t>
      </w:r>
      <w:r w:rsidRPr="00246AE0">
        <w:rPr>
          <w:rFonts w:asciiTheme="majorBidi" w:hAnsiTheme="majorBidi" w:cstheme="majorBidi"/>
          <w:sz w:val="24"/>
          <w:szCs w:val="24"/>
        </w:rPr>
        <w:t>xpliquer la raison de l’utilisation de ce procédé pour les produits thermosensibles</w:t>
      </w:r>
      <w:r w:rsidRPr="00902993">
        <w:rPr>
          <w:rFonts w:asciiTheme="majorBidi" w:hAnsiTheme="majorBidi" w:cstheme="majorBidi"/>
          <w:sz w:val="24"/>
          <w:szCs w:val="24"/>
        </w:rPr>
        <w:t xml:space="preserve"> </w:t>
      </w:r>
      <w:r w:rsidRPr="00733D89">
        <w:rPr>
          <w:rFonts w:asciiTheme="majorBidi" w:hAnsiTheme="majorBidi" w:cstheme="majorBidi"/>
          <w:b/>
          <w:bCs/>
          <w:sz w:val="24"/>
          <w:szCs w:val="24"/>
        </w:rPr>
        <w:t>(3 pts)</w:t>
      </w:r>
    </w:p>
    <w:p w:rsidR="005D1FBF" w:rsidRPr="005D1FBF" w:rsidRDefault="005D1FBF" w:rsidP="005D1FBF">
      <w:pPr>
        <w:rPr>
          <w:b/>
          <w:bCs/>
        </w:rPr>
      </w:pPr>
      <w:r w:rsidRPr="005D1FBF">
        <w:rPr>
          <w:b/>
          <w:bCs/>
        </w:rPr>
        <w:t>Procédés de séchage particulaire (atomisation). La solution ou suspension à sécher est dispersées en fines gouttelettes dans un courant d’air très chaud qui les transforme instantanément en petits grains de poudre. Permet de transformer des produits liquides et pâteux en produits secs « </w:t>
      </w:r>
      <w:proofErr w:type="spellStart"/>
      <w:r w:rsidRPr="005D1FBF">
        <w:rPr>
          <w:b/>
          <w:bCs/>
        </w:rPr>
        <w:t>Nebulisat</w:t>
      </w:r>
      <w:proofErr w:type="spellEnd"/>
      <w:r w:rsidRPr="005D1FBF">
        <w:rPr>
          <w:b/>
          <w:bCs/>
        </w:rPr>
        <w:t xml:space="preserve"> ». Dans ce procédé, la surface de contact entre la matière et l’air chaud est considérablement multipliée.  En effet, on obtient assez facilement des gouttelettes d’un diamètre de l’ordre de 100 </w:t>
      </w:r>
      <w:proofErr w:type="spellStart"/>
      <w:r w:rsidRPr="005D1FBF">
        <w:rPr>
          <w:b/>
          <w:bCs/>
        </w:rPr>
        <w:t>μm</w:t>
      </w:r>
      <w:proofErr w:type="spellEnd"/>
      <w:r w:rsidRPr="005D1FBF">
        <w:rPr>
          <w:b/>
          <w:bCs/>
        </w:rPr>
        <w:t xml:space="preserve">.  Ces gouttelettes dès leur formation se déplacent à la vitesse de 100 m/s.  L’air étant à 150–200 °C, la dessiccation est réalisée en une fraction de seconde. Obtention de globules poreux. </w:t>
      </w:r>
      <w:r w:rsidR="00A55237">
        <w:rPr>
          <w:b/>
          <w:bCs/>
        </w:rPr>
        <w:t>(2</w:t>
      </w:r>
      <w:r w:rsidRPr="005D1FBF">
        <w:rPr>
          <w:b/>
          <w:bCs/>
        </w:rPr>
        <w:t xml:space="preserve"> pt</w:t>
      </w:r>
      <w:r w:rsidR="00A55237">
        <w:rPr>
          <w:b/>
          <w:bCs/>
        </w:rPr>
        <w:t>s</w:t>
      </w:r>
      <w:r w:rsidRPr="005D1FBF">
        <w:rPr>
          <w:b/>
          <w:bCs/>
        </w:rPr>
        <w:t>)</w:t>
      </w:r>
      <w:r>
        <w:rPr>
          <w:b/>
          <w:bCs/>
        </w:rPr>
        <w:t xml:space="preserve">. </w:t>
      </w:r>
      <w:r w:rsidRPr="005D1FBF">
        <w:rPr>
          <w:b/>
          <w:bCs/>
        </w:rPr>
        <w:t>Par ce procédé on peut sécher des liquides contenant des principes assez sensibles à l’action de la température. Ils résistent à la température élevée de la nébulisation du fait de sa très courte durée (fraction de seconde)</w:t>
      </w:r>
      <w:r>
        <w:rPr>
          <w:b/>
          <w:bCs/>
        </w:rPr>
        <w:t xml:space="preserve"> </w:t>
      </w:r>
      <w:r w:rsidR="00A55237">
        <w:rPr>
          <w:b/>
          <w:bCs/>
        </w:rPr>
        <w:t>(1</w:t>
      </w:r>
      <w:r>
        <w:rPr>
          <w:b/>
          <w:bCs/>
        </w:rPr>
        <w:t xml:space="preserve"> pt)</w:t>
      </w:r>
      <w:r w:rsidRPr="005D1FBF">
        <w:rPr>
          <w:b/>
          <w:bCs/>
        </w:rPr>
        <w:t>.</w:t>
      </w:r>
    </w:p>
    <w:p w:rsidR="00733D89" w:rsidRPr="008B47EC" w:rsidRDefault="00733D89" w:rsidP="008B47EC">
      <w:pPr>
        <w:ind w:firstLine="0"/>
        <w:rPr>
          <w:rFonts w:asciiTheme="majorBidi" w:hAnsiTheme="majorBidi" w:cstheme="majorBidi"/>
          <w:b/>
          <w:bCs/>
          <w:sz w:val="24"/>
          <w:szCs w:val="24"/>
        </w:rPr>
      </w:pPr>
      <w:r w:rsidRPr="00902993">
        <w:rPr>
          <w:rFonts w:asciiTheme="majorBidi" w:hAnsiTheme="majorBidi" w:cstheme="majorBidi"/>
          <w:b/>
          <w:bCs/>
          <w:sz w:val="24"/>
          <w:szCs w:val="24"/>
        </w:rPr>
        <w:t>Exercice</w:t>
      </w:r>
      <w:r>
        <w:rPr>
          <w:rFonts w:asciiTheme="majorBidi" w:hAnsiTheme="majorBidi" w:cstheme="majorBidi"/>
          <w:b/>
          <w:bCs/>
          <w:sz w:val="24"/>
          <w:szCs w:val="24"/>
        </w:rPr>
        <w:t xml:space="preserve"> 2 </w:t>
      </w:r>
      <w:r w:rsidRPr="00902993">
        <w:rPr>
          <w:rFonts w:asciiTheme="majorBidi" w:hAnsiTheme="majorBidi" w:cstheme="majorBidi"/>
          <w:b/>
          <w:bCs/>
          <w:sz w:val="24"/>
          <w:szCs w:val="24"/>
        </w:rPr>
        <w:t>:</w:t>
      </w:r>
      <w:r w:rsidR="008B47EC">
        <w:rPr>
          <w:rFonts w:asciiTheme="majorBidi" w:hAnsiTheme="majorBidi" w:cstheme="majorBidi"/>
          <w:b/>
          <w:bCs/>
          <w:sz w:val="24"/>
          <w:szCs w:val="24"/>
        </w:rPr>
        <w:t xml:space="preserve"> (6 pts)</w:t>
      </w:r>
    </w:p>
    <w:p w:rsidR="00733D89" w:rsidRDefault="00733D89" w:rsidP="00733D89">
      <w:pPr>
        <w:pStyle w:val="Default"/>
        <w:numPr>
          <w:ilvl w:val="0"/>
          <w:numId w:val="2"/>
        </w:numPr>
        <w:rPr>
          <w:rFonts w:asciiTheme="majorBidi" w:hAnsiTheme="majorBidi" w:cstheme="majorBidi"/>
        </w:rPr>
      </w:pPr>
      <w:r>
        <w:rPr>
          <w:rFonts w:asciiTheme="majorBidi" w:hAnsiTheme="majorBidi" w:cstheme="majorBidi"/>
        </w:rPr>
        <w:t>C</w:t>
      </w:r>
      <w:r w:rsidR="008B47EC">
        <w:rPr>
          <w:rFonts w:asciiTheme="majorBidi" w:hAnsiTheme="majorBidi" w:cstheme="majorBidi"/>
        </w:rPr>
        <w:t>iter les avantages de l’</w:t>
      </w:r>
      <w:r>
        <w:rPr>
          <w:rFonts w:asciiTheme="majorBidi" w:hAnsiTheme="majorBidi" w:cstheme="majorBidi"/>
        </w:rPr>
        <w:t xml:space="preserve">opération pharmaceutique </w:t>
      </w:r>
      <w:r w:rsidR="008B47EC">
        <w:rPr>
          <w:rFonts w:asciiTheme="majorBidi" w:hAnsiTheme="majorBidi" w:cstheme="majorBidi"/>
        </w:rPr>
        <w:t xml:space="preserve">granulation </w:t>
      </w:r>
      <w:r>
        <w:rPr>
          <w:rFonts w:asciiTheme="majorBidi" w:hAnsiTheme="majorBidi" w:cstheme="majorBidi"/>
          <w:b/>
          <w:bCs/>
        </w:rPr>
        <w:t>(2</w:t>
      </w:r>
      <w:r w:rsidRPr="005C30B2">
        <w:rPr>
          <w:rFonts w:asciiTheme="majorBidi" w:hAnsiTheme="majorBidi" w:cstheme="majorBidi"/>
          <w:b/>
          <w:bCs/>
        </w:rPr>
        <w:t xml:space="preserve"> pts)</w:t>
      </w:r>
      <w:r>
        <w:rPr>
          <w:rFonts w:asciiTheme="majorBidi" w:hAnsiTheme="majorBidi" w:cstheme="majorBidi"/>
        </w:rPr>
        <w:t xml:space="preserve">. </w:t>
      </w:r>
    </w:p>
    <w:p w:rsidR="00A14C17" w:rsidRPr="00C2291D" w:rsidRDefault="00A14C17" w:rsidP="00A14C17">
      <w:pPr>
        <w:pStyle w:val="Default"/>
        <w:rPr>
          <w:rFonts w:asciiTheme="majorBidi" w:hAnsiTheme="majorBidi" w:cstheme="majorBidi"/>
          <w:sz w:val="26"/>
          <w:szCs w:val="26"/>
        </w:rPr>
      </w:pPr>
      <w:r>
        <w:rPr>
          <w:rFonts w:asciiTheme="majorBidi" w:hAnsiTheme="majorBidi" w:cstheme="majorBidi"/>
          <w:b/>
          <w:bCs/>
          <w:sz w:val="26"/>
          <w:szCs w:val="26"/>
        </w:rPr>
        <w:t xml:space="preserve">Les avantages de la granulation : </w:t>
      </w:r>
    </w:p>
    <w:p w:rsidR="00A14C17" w:rsidRPr="00A14C17" w:rsidRDefault="00A14C17" w:rsidP="00A14C17">
      <w:pPr>
        <w:ind w:firstLine="0"/>
        <w:rPr>
          <w:b/>
          <w:bCs/>
        </w:rPr>
      </w:pPr>
      <w:r w:rsidRPr="00A14C17">
        <w:rPr>
          <w:b/>
          <w:bCs/>
        </w:rPr>
        <w:t xml:space="preserve">Par rapport à un simple mélange de poudres, le granulé présente un certain nombre d’avantages : </w:t>
      </w:r>
    </w:p>
    <w:p w:rsidR="00A14C17" w:rsidRPr="00A14C17" w:rsidRDefault="00A14C17" w:rsidP="00A14C17">
      <w:pPr>
        <w:rPr>
          <w:b/>
          <w:bCs/>
        </w:rPr>
      </w:pPr>
      <w:r w:rsidRPr="00A14C17">
        <w:rPr>
          <w:b/>
          <w:bCs/>
        </w:rPr>
        <w:t xml:space="preserve">Meilleure conservation de l’homogénéité ; </w:t>
      </w:r>
    </w:p>
    <w:p w:rsidR="00A14C17" w:rsidRPr="00A14C17" w:rsidRDefault="00A14C17" w:rsidP="00A14C17">
      <w:pPr>
        <w:rPr>
          <w:b/>
          <w:bCs/>
        </w:rPr>
      </w:pPr>
      <w:r w:rsidRPr="00A14C17">
        <w:rPr>
          <w:b/>
          <w:bCs/>
        </w:rPr>
        <w:t xml:space="preserve">Amélioration de la densité ; </w:t>
      </w:r>
    </w:p>
    <w:p w:rsidR="00A14C17" w:rsidRPr="00A14C17" w:rsidRDefault="00A14C17" w:rsidP="00A14C17">
      <w:pPr>
        <w:rPr>
          <w:b/>
          <w:bCs/>
        </w:rPr>
      </w:pPr>
      <w:r w:rsidRPr="00A14C17">
        <w:rPr>
          <w:b/>
          <w:bCs/>
        </w:rPr>
        <w:t xml:space="preserve">Facilité d’écoulement </w:t>
      </w:r>
    </w:p>
    <w:p w:rsidR="00A14C17" w:rsidRPr="00A14C17" w:rsidRDefault="00A14C17" w:rsidP="00A14C17">
      <w:pPr>
        <w:rPr>
          <w:b/>
          <w:bCs/>
        </w:rPr>
      </w:pPr>
      <w:r w:rsidRPr="00A14C17">
        <w:rPr>
          <w:b/>
          <w:bCs/>
        </w:rPr>
        <w:t xml:space="preserve">Répartition plus homogène pour les dosages volumétriques ; </w:t>
      </w:r>
    </w:p>
    <w:p w:rsidR="00A14C17" w:rsidRPr="00A14C17" w:rsidRDefault="00A14C17" w:rsidP="00A14C17">
      <w:pPr>
        <w:rPr>
          <w:b/>
          <w:bCs/>
        </w:rPr>
      </w:pPr>
      <w:r w:rsidRPr="00A14C17">
        <w:rPr>
          <w:b/>
          <w:bCs/>
        </w:rPr>
        <w:t xml:space="preserve">Plus grande aptitude à la compression ; </w:t>
      </w:r>
    </w:p>
    <w:p w:rsidR="00A14C17" w:rsidRPr="00A14C17" w:rsidRDefault="00A14C17" w:rsidP="00A14C17">
      <w:pPr>
        <w:rPr>
          <w:b/>
          <w:bCs/>
        </w:rPr>
      </w:pPr>
      <w:r w:rsidRPr="00A14C17">
        <w:rPr>
          <w:b/>
          <w:bCs/>
        </w:rPr>
        <w:t xml:space="preserve">Porosité supérieure facilitant la dissolution… </w:t>
      </w:r>
    </w:p>
    <w:p w:rsidR="00A14C17" w:rsidRDefault="00A14C17" w:rsidP="00A14C17">
      <w:pPr>
        <w:pStyle w:val="Default"/>
        <w:ind w:left="360"/>
        <w:rPr>
          <w:rFonts w:asciiTheme="majorBidi" w:hAnsiTheme="majorBidi" w:cstheme="majorBidi"/>
        </w:rPr>
      </w:pPr>
    </w:p>
    <w:p w:rsidR="00733D89" w:rsidRPr="00A14C17" w:rsidRDefault="00733D89" w:rsidP="00733D89">
      <w:pPr>
        <w:pStyle w:val="Paragraphedeliste"/>
        <w:numPr>
          <w:ilvl w:val="0"/>
          <w:numId w:val="2"/>
        </w:numPr>
        <w:rPr>
          <w:rFonts w:asciiTheme="majorBidi" w:hAnsiTheme="majorBidi" w:cstheme="majorBidi"/>
          <w:sz w:val="24"/>
          <w:szCs w:val="24"/>
        </w:rPr>
      </w:pPr>
      <w:r w:rsidRPr="00902993">
        <w:rPr>
          <w:rFonts w:asciiTheme="majorBidi" w:hAnsiTheme="majorBidi" w:cstheme="majorBidi"/>
          <w:sz w:val="24"/>
          <w:szCs w:val="24"/>
        </w:rPr>
        <w:lastRenderedPageBreak/>
        <w:t xml:space="preserve">Donner les deux modes de granulation en précisant pour quels types de principes actifs ces deux modes sont utilisés </w:t>
      </w:r>
      <w:r w:rsidRPr="00733D89">
        <w:rPr>
          <w:rFonts w:asciiTheme="majorBidi" w:hAnsiTheme="majorBidi" w:cstheme="majorBidi"/>
          <w:b/>
          <w:bCs/>
          <w:sz w:val="24"/>
          <w:szCs w:val="24"/>
        </w:rPr>
        <w:t>(2 pts)</w:t>
      </w:r>
    </w:p>
    <w:p w:rsidR="00A14C17" w:rsidRPr="00A14C17" w:rsidRDefault="00A14C17" w:rsidP="00A14C17">
      <w:pPr>
        <w:ind w:left="360" w:firstLine="0"/>
        <w:rPr>
          <w:b/>
          <w:bCs/>
        </w:rPr>
      </w:pPr>
      <w:r w:rsidRPr="00A14C17">
        <w:rPr>
          <w:b/>
          <w:bCs/>
        </w:rPr>
        <w:t xml:space="preserve">Granulation par voie humide : pour les Principes actifs non thermosensibles et non hydrolysables. </w:t>
      </w:r>
    </w:p>
    <w:p w:rsidR="00A14C17" w:rsidRPr="00A14C17" w:rsidRDefault="00A14C17" w:rsidP="00A14C17">
      <w:pPr>
        <w:ind w:left="360" w:firstLine="0"/>
        <w:rPr>
          <w:rFonts w:asciiTheme="majorBidi" w:hAnsiTheme="majorBidi" w:cstheme="majorBidi"/>
          <w:b/>
          <w:bCs/>
          <w:sz w:val="24"/>
          <w:szCs w:val="24"/>
        </w:rPr>
      </w:pPr>
      <w:r w:rsidRPr="00A14C17">
        <w:rPr>
          <w:b/>
          <w:bCs/>
        </w:rPr>
        <w:t xml:space="preserve">Granulation par voie sèche : pour PA thermosensibles, </w:t>
      </w:r>
      <w:proofErr w:type="spellStart"/>
      <w:r w:rsidRPr="00A14C17">
        <w:rPr>
          <w:b/>
          <w:bCs/>
        </w:rPr>
        <w:t>hydrosensibles</w:t>
      </w:r>
      <w:proofErr w:type="spellEnd"/>
      <w:r w:rsidRPr="00A14C17">
        <w:rPr>
          <w:b/>
          <w:bCs/>
        </w:rPr>
        <w:t xml:space="preserve"> ou trop solubles dans les liquides de mouillage </w:t>
      </w:r>
    </w:p>
    <w:p w:rsidR="00A14C17" w:rsidRPr="00A14C17" w:rsidRDefault="00733D89" w:rsidP="00A14C17">
      <w:pPr>
        <w:pStyle w:val="Paragraphedeliste"/>
        <w:numPr>
          <w:ilvl w:val="0"/>
          <w:numId w:val="2"/>
        </w:numPr>
        <w:rPr>
          <w:rFonts w:asciiTheme="majorBidi" w:hAnsiTheme="majorBidi" w:cstheme="majorBidi"/>
          <w:sz w:val="24"/>
          <w:szCs w:val="24"/>
        </w:rPr>
      </w:pPr>
      <w:r w:rsidRPr="00902993">
        <w:rPr>
          <w:rFonts w:asciiTheme="majorBidi" w:hAnsiTheme="majorBidi" w:cstheme="majorBidi"/>
          <w:sz w:val="24"/>
          <w:szCs w:val="24"/>
        </w:rPr>
        <w:t xml:space="preserve">Citer les étapes opérationnelles de chaque mode de granulation </w:t>
      </w:r>
      <w:r w:rsidRPr="00733D89">
        <w:rPr>
          <w:rFonts w:asciiTheme="majorBidi" w:hAnsiTheme="majorBidi" w:cstheme="majorBidi"/>
          <w:b/>
          <w:bCs/>
          <w:sz w:val="24"/>
          <w:szCs w:val="24"/>
        </w:rPr>
        <w:t>(2 pts)</w:t>
      </w:r>
    </w:p>
    <w:p w:rsidR="00A14C17" w:rsidRPr="00A14C17" w:rsidRDefault="00A14C17" w:rsidP="00A14C17">
      <w:pPr>
        <w:ind w:firstLine="0"/>
        <w:rPr>
          <w:rFonts w:asciiTheme="majorBidi" w:hAnsiTheme="majorBidi" w:cstheme="majorBidi"/>
          <w:sz w:val="24"/>
          <w:szCs w:val="24"/>
        </w:rPr>
      </w:pPr>
      <w:r w:rsidRPr="00A14C17">
        <w:rPr>
          <w:rFonts w:asciiTheme="majorBidi" w:hAnsiTheme="majorBidi" w:cstheme="majorBidi"/>
          <w:b/>
          <w:bCs/>
          <w:sz w:val="26"/>
          <w:szCs w:val="26"/>
        </w:rPr>
        <w:t xml:space="preserve">Les différentes phases de la granulation humide  </w:t>
      </w:r>
    </w:p>
    <w:p w:rsidR="00A14C17" w:rsidRPr="00A14C17" w:rsidRDefault="00A14C17" w:rsidP="00470054">
      <w:pPr>
        <w:pStyle w:val="Default"/>
        <w:numPr>
          <w:ilvl w:val="0"/>
          <w:numId w:val="12"/>
        </w:numPr>
        <w:rPr>
          <w:rFonts w:ascii="Times New Roman" w:hAnsi="Times New Roman" w:cs="Times New Roman"/>
        </w:rPr>
      </w:pPr>
      <w:r>
        <w:rPr>
          <w:rFonts w:asciiTheme="majorBidi" w:hAnsiTheme="majorBidi" w:cstheme="majorBidi"/>
          <w:b/>
          <w:bCs/>
          <w:sz w:val="26"/>
          <w:szCs w:val="26"/>
        </w:rPr>
        <w:t>Humidification ou mouillage </w:t>
      </w:r>
    </w:p>
    <w:p w:rsidR="00A14C17" w:rsidRPr="00A14C17" w:rsidRDefault="00A14C17" w:rsidP="00A14C17">
      <w:pPr>
        <w:pStyle w:val="Default"/>
        <w:numPr>
          <w:ilvl w:val="0"/>
          <w:numId w:val="12"/>
        </w:numPr>
        <w:rPr>
          <w:rFonts w:ascii="Times New Roman" w:hAnsi="Times New Roman" w:cs="Times New Roman"/>
        </w:rPr>
      </w:pPr>
      <w:r w:rsidRPr="00A14C17">
        <w:rPr>
          <w:rFonts w:asciiTheme="majorBidi" w:hAnsiTheme="majorBidi" w:cstheme="majorBidi"/>
          <w:b/>
          <w:bCs/>
          <w:sz w:val="26"/>
          <w:szCs w:val="26"/>
        </w:rPr>
        <w:t>Granulation proprement dite</w:t>
      </w:r>
      <w:r>
        <w:rPr>
          <w:rFonts w:asciiTheme="majorBidi" w:hAnsiTheme="majorBidi" w:cstheme="majorBidi"/>
          <w:b/>
          <w:bCs/>
          <w:sz w:val="26"/>
          <w:szCs w:val="26"/>
        </w:rPr>
        <w:t> </w:t>
      </w:r>
    </w:p>
    <w:p w:rsidR="00A14C17" w:rsidRDefault="00A14C17" w:rsidP="00A14C17">
      <w:pPr>
        <w:pStyle w:val="Default"/>
        <w:numPr>
          <w:ilvl w:val="0"/>
          <w:numId w:val="12"/>
        </w:numPr>
        <w:rPr>
          <w:rFonts w:asciiTheme="majorBidi" w:hAnsiTheme="majorBidi" w:cstheme="majorBidi"/>
          <w:b/>
          <w:bCs/>
          <w:sz w:val="26"/>
          <w:szCs w:val="26"/>
        </w:rPr>
      </w:pPr>
      <w:r>
        <w:rPr>
          <w:rFonts w:asciiTheme="majorBidi" w:hAnsiTheme="majorBidi" w:cstheme="majorBidi"/>
          <w:b/>
          <w:bCs/>
          <w:sz w:val="26"/>
          <w:szCs w:val="26"/>
        </w:rPr>
        <w:t xml:space="preserve">Séchage  </w:t>
      </w:r>
    </w:p>
    <w:p w:rsidR="00A14C17" w:rsidRPr="00122F92" w:rsidRDefault="00A14C17" w:rsidP="00A14C17">
      <w:pPr>
        <w:pStyle w:val="Default"/>
        <w:numPr>
          <w:ilvl w:val="0"/>
          <w:numId w:val="12"/>
        </w:numPr>
        <w:rPr>
          <w:rFonts w:asciiTheme="majorBidi" w:hAnsiTheme="majorBidi" w:cstheme="majorBidi"/>
          <w:b/>
          <w:bCs/>
          <w:sz w:val="26"/>
          <w:szCs w:val="26"/>
        </w:rPr>
      </w:pPr>
      <w:r w:rsidRPr="00122F92">
        <w:rPr>
          <w:rFonts w:asciiTheme="majorBidi" w:hAnsiTheme="majorBidi" w:cstheme="majorBidi"/>
          <w:b/>
          <w:bCs/>
          <w:sz w:val="26"/>
          <w:szCs w:val="26"/>
        </w:rPr>
        <w:t>Broyage ou tamisage </w:t>
      </w:r>
      <w:r w:rsidRPr="00122F92">
        <w:rPr>
          <w:rFonts w:ascii="Times New Roman" w:hAnsi="Times New Roman" w:cs="Times New Roman"/>
          <w:sz w:val="28"/>
          <w:szCs w:val="28"/>
        </w:rPr>
        <w:t xml:space="preserve"> </w:t>
      </w:r>
    </w:p>
    <w:p w:rsidR="00A14C17" w:rsidRDefault="00A14C17" w:rsidP="00A14C17">
      <w:pPr>
        <w:ind w:firstLine="0"/>
        <w:rPr>
          <w:rFonts w:asciiTheme="majorBidi" w:hAnsiTheme="majorBidi" w:cstheme="majorBidi"/>
          <w:b/>
          <w:bCs/>
          <w:sz w:val="26"/>
          <w:szCs w:val="26"/>
        </w:rPr>
      </w:pPr>
    </w:p>
    <w:p w:rsidR="00A14C17" w:rsidRDefault="00A14C17" w:rsidP="00A14C17">
      <w:pPr>
        <w:ind w:firstLine="0"/>
        <w:rPr>
          <w:rFonts w:asciiTheme="majorBidi" w:hAnsiTheme="majorBidi" w:cstheme="majorBidi"/>
          <w:b/>
          <w:bCs/>
          <w:sz w:val="26"/>
          <w:szCs w:val="26"/>
        </w:rPr>
      </w:pPr>
      <w:r w:rsidRPr="00A14C17">
        <w:rPr>
          <w:rFonts w:asciiTheme="majorBidi" w:hAnsiTheme="majorBidi" w:cstheme="majorBidi"/>
          <w:b/>
          <w:bCs/>
          <w:sz w:val="26"/>
          <w:szCs w:val="26"/>
        </w:rPr>
        <w:t xml:space="preserve">Les différentes phases de la granulation </w:t>
      </w:r>
      <w:r>
        <w:rPr>
          <w:rFonts w:asciiTheme="majorBidi" w:hAnsiTheme="majorBidi" w:cstheme="majorBidi"/>
          <w:b/>
          <w:bCs/>
          <w:sz w:val="26"/>
          <w:szCs w:val="26"/>
        </w:rPr>
        <w:t xml:space="preserve">par voie sèche : </w:t>
      </w:r>
    </w:p>
    <w:p w:rsidR="00A14C17" w:rsidRPr="00A14C17" w:rsidRDefault="00A14C17" w:rsidP="00A14C17">
      <w:pPr>
        <w:pStyle w:val="Paragraphedeliste"/>
        <w:numPr>
          <w:ilvl w:val="0"/>
          <w:numId w:val="13"/>
        </w:numPr>
        <w:rPr>
          <w:rFonts w:asciiTheme="majorBidi" w:hAnsiTheme="majorBidi" w:cstheme="majorBidi"/>
          <w:b/>
          <w:bCs/>
          <w:sz w:val="24"/>
          <w:szCs w:val="24"/>
        </w:rPr>
      </w:pPr>
      <w:r w:rsidRPr="00A14C17">
        <w:rPr>
          <w:rFonts w:asciiTheme="majorBidi" w:hAnsiTheme="majorBidi" w:cstheme="majorBidi"/>
          <w:b/>
          <w:bCs/>
          <w:sz w:val="24"/>
          <w:szCs w:val="24"/>
        </w:rPr>
        <w:t xml:space="preserve">Compression </w:t>
      </w:r>
    </w:p>
    <w:p w:rsidR="00A14C17" w:rsidRPr="00A14C17" w:rsidRDefault="00A14C17" w:rsidP="00A14C17">
      <w:pPr>
        <w:pStyle w:val="Paragraphedeliste"/>
        <w:numPr>
          <w:ilvl w:val="0"/>
          <w:numId w:val="13"/>
        </w:numPr>
        <w:rPr>
          <w:rFonts w:asciiTheme="majorBidi" w:hAnsiTheme="majorBidi" w:cstheme="majorBidi"/>
          <w:b/>
          <w:bCs/>
          <w:sz w:val="24"/>
          <w:szCs w:val="24"/>
        </w:rPr>
      </w:pPr>
      <w:r w:rsidRPr="00A14C17">
        <w:rPr>
          <w:rFonts w:asciiTheme="majorBidi" w:hAnsiTheme="majorBidi" w:cstheme="majorBidi"/>
          <w:b/>
          <w:bCs/>
          <w:sz w:val="24"/>
          <w:szCs w:val="24"/>
        </w:rPr>
        <w:t xml:space="preserve">Broyage et tamisage </w:t>
      </w:r>
    </w:p>
    <w:p w:rsidR="00733D89" w:rsidRPr="00902993" w:rsidRDefault="00733D89" w:rsidP="00733D89">
      <w:pPr>
        <w:ind w:firstLine="0"/>
        <w:rPr>
          <w:rFonts w:asciiTheme="majorBidi" w:hAnsiTheme="majorBidi" w:cstheme="majorBidi"/>
          <w:b/>
          <w:bCs/>
          <w:sz w:val="24"/>
          <w:szCs w:val="24"/>
        </w:rPr>
      </w:pPr>
      <w:r w:rsidRPr="00902993">
        <w:rPr>
          <w:rFonts w:asciiTheme="majorBidi" w:hAnsiTheme="majorBidi" w:cstheme="majorBidi"/>
          <w:b/>
          <w:bCs/>
          <w:sz w:val="24"/>
          <w:szCs w:val="24"/>
        </w:rPr>
        <w:t>Exercice 3</w:t>
      </w:r>
      <w:r>
        <w:rPr>
          <w:rFonts w:asciiTheme="majorBidi" w:hAnsiTheme="majorBidi" w:cstheme="majorBidi"/>
          <w:b/>
          <w:bCs/>
          <w:sz w:val="24"/>
          <w:szCs w:val="24"/>
        </w:rPr>
        <w:t> :</w:t>
      </w:r>
      <w:r w:rsidR="00973493">
        <w:rPr>
          <w:rFonts w:asciiTheme="majorBidi" w:hAnsiTheme="majorBidi" w:cstheme="majorBidi"/>
          <w:b/>
          <w:bCs/>
          <w:sz w:val="24"/>
          <w:szCs w:val="24"/>
        </w:rPr>
        <w:t xml:space="preserve"> (4</w:t>
      </w:r>
      <w:r w:rsidRPr="00902993">
        <w:rPr>
          <w:rFonts w:asciiTheme="majorBidi" w:hAnsiTheme="majorBidi" w:cstheme="majorBidi"/>
          <w:b/>
          <w:bCs/>
          <w:sz w:val="24"/>
          <w:szCs w:val="24"/>
        </w:rPr>
        <w:t xml:space="preserve"> pts)</w:t>
      </w:r>
    </w:p>
    <w:p w:rsidR="00733D89" w:rsidRPr="00902993" w:rsidRDefault="00733D89" w:rsidP="00733D89">
      <w:pPr>
        <w:ind w:firstLine="0"/>
        <w:rPr>
          <w:rFonts w:asciiTheme="majorBidi" w:hAnsiTheme="majorBidi" w:cstheme="majorBidi"/>
          <w:sz w:val="24"/>
          <w:szCs w:val="24"/>
        </w:rPr>
      </w:pPr>
      <w:r w:rsidRPr="00902993">
        <w:rPr>
          <w:rFonts w:asciiTheme="majorBidi" w:hAnsiTheme="majorBidi" w:cstheme="majorBidi"/>
          <w:sz w:val="24"/>
          <w:szCs w:val="24"/>
        </w:rPr>
        <w:t>La sté</w:t>
      </w:r>
      <w:r w:rsidR="008B47EC">
        <w:rPr>
          <w:rFonts w:asciiTheme="majorBidi" w:hAnsiTheme="majorBidi" w:cstheme="majorBidi"/>
          <w:sz w:val="24"/>
          <w:szCs w:val="24"/>
        </w:rPr>
        <w:t>rilisation</w:t>
      </w:r>
      <w:r w:rsidRPr="00902993">
        <w:rPr>
          <w:rFonts w:asciiTheme="majorBidi" w:hAnsiTheme="majorBidi" w:cstheme="majorBidi"/>
          <w:sz w:val="24"/>
          <w:szCs w:val="24"/>
        </w:rPr>
        <w:t xml:space="preserve"> a pour but de tuer toute vie microbienne sur et dans un objet ou préparation.</w:t>
      </w:r>
    </w:p>
    <w:p w:rsidR="00733D89" w:rsidRDefault="00733D89" w:rsidP="00733D89">
      <w:pPr>
        <w:pStyle w:val="Paragraphedeliste"/>
        <w:numPr>
          <w:ilvl w:val="0"/>
          <w:numId w:val="4"/>
        </w:numPr>
        <w:rPr>
          <w:rFonts w:asciiTheme="majorBidi" w:hAnsiTheme="majorBidi" w:cstheme="majorBidi"/>
          <w:sz w:val="24"/>
          <w:szCs w:val="24"/>
        </w:rPr>
      </w:pPr>
      <w:r w:rsidRPr="00902993">
        <w:rPr>
          <w:rFonts w:asciiTheme="majorBidi" w:hAnsiTheme="majorBidi" w:cstheme="majorBidi"/>
          <w:sz w:val="24"/>
          <w:szCs w:val="24"/>
        </w:rPr>
        <w:t xml:space="preserve">Donner l’expression de la courbe de décroissance bactérienne au cours de la stérilisation (définir chaque paramètre de l’équation) </w:t>
      </w:r>
      <w:r w:rsidRPr="00733D89">
        <w:rPr>
          <w:rFonts w:asciiTheme="majorBidi" w:hAnsiTheme="majorBidi" w:cstheme="majorBidi"/>
          <w:b/>
          <w:bCs/>
          <w:sz w:val="24"/>
          <w:szCs w:val="24"/>
        </w:rPr>
        <w:t>(1 pts)</w:t>
      </w:r>
      <w:r w:rsidRPr="00902993">
        <w:rPr>
          <w:rFonts w:asciiTheme="majorBidi" w:hAnsiTheme="majorBidi" w:cstheme="majorBidi"/>
          <w:sz w:val="24"/>
          <w:szCs w:val="24"/>
        </w:rPr>
        <w:t xml:space="preserve"> </w:t>
      </w:r>
    </w:p>
    <w:p w:rsidR="00B778A5" w:rsidRPr="00B778A5" w:rsidRDefault="00B778A5" w:rsidP="00B778A5">
      <w:pPr>
        <w:ind w:left="360" w:firstLine="0"/>
        <w:jc w:val="center"/>
        <w:rPr>
          <w:b/>
          <w:bCs/>
        </w:rPr>
      </w:pPr>
      <w:r w:rsidRPr="00B778A5">
        <w:rPr>
          <w:b/>
          <w:bCs/>
        </w:rPr>
        <w:t xml:space="preserve">Log N / N0 = </w:t>
      </w:r>
      <w:proofErr w:type="spellStart"/>
      <w:r w:rsidRPr="00B778A5">
        <w:rPr>
          <w:b/>
          <w:bCs/>
        </w:rPr>
        <w:t>Kt</w:t>
      </w:r>
      <w:proofErr w:type="spellEnd"/>
    </w:p>
    <w:p w:rsidR="00B778A5" w:rsidRPr="00B778A5" w:rsidRDefault="00B778A5" w:rsidP="00B778A5">
      <w:pPr>
        <w:pStyle w:val="Paragraphedeliste"/>
        <w:ind w:firstLine="0"/>
        <w:rPr>
          <w:b/>
          <w:bCs/>
        </w:rPr>
      </w:pPr>
      <w:r w:rsidRPr="00B778A5">
        <w:rPr>
          <w:b/>
          <w:bCs/>
        </w:rPr>
        <w:t>N : nombre de micro-organismes au temps t //N0 : nombre initial de micro-organismes// K : constante de vitesse // T : temps.</w:t>
      </w:r>
    </w:p>
    <w:p w:rsidR="00733D89" w:rsidRPr="00B778A5" w:rsidRDefault="00733D89" w:rsidP="00733D89">
      <w:pPr>
        <w:pStyle w:val="Paragraphedeliste"/>
        <w:numPr>
          <w:ilvl w:val="0"/>
          <w:numId w:val="4"/>
        </w:numPr>
        <w:rPr>
          <w:rFonts w:asciiTheme="majorBidi" w:hAnsiTheme="majorBidi" w:cstheme="majorBidi"/>
          <w:sz w:val="24"/>
          <w:szCs w:val="24"/>
        </w:rPr>
      </w:pPr>
      <w:r>
        <w:rPr>
          <w:rFonts w:asciiTheme="majorBidi" w:hAnsiTheme="majorBidi" w:cstheme="majorBidi"/>
        </w:rPr>
        <w:t xml:space="preserve">Définir le principe de la stérilisation par tyndallisation </w:t>
      </w:r>
      <w:r w:rsidRPr="005C30B2">
        <w:rPr>
          <w:rFonts w:asciiTheme="majorBidi" w:hAnsiTheme="majorBidi" w:cstheme="majorBidi"/>
          <w:b/>
          <w:bCs/>
        </w:rPr>
        <w:t>(2 pts)</w:t>
      </w:r>
    </w:p>
    <w:p w:rsidR="00B778A5" w:rsidRPr="00B778A5" w:rsidRDefault="00B778A5" w:rsidP="00B778A5">
      <w:pPr>
        <w:ind w:left="360" w:firstLine="0"/>
        <w:jc w:val="left"/>
        <w:rPr>
          <w:b/>
          <w:bCs/>
        </w:rPr>
      </w:pPr>
      <w:r w:rsidRPr="00B778A5">
        <w:rPr>
          <w:b/>
          <w:bCs/>
        </w:rPr>
        <w:t>Le principe de la stérilisation par tyndallisation </w:t>
      </w:r>
    </w:p>
    <w:p w:rsidR="00B778A5" w:rsidRPr="00B778A5" w:rsidRDefault="00B778A5" w:rsidP="00B778A5">
      <w:pPr>
        <w:ind w:firstLine="0"/>
        <w:jc w:val="left"/>
        <w:rPr>
          <w:b/>
          <w:bCs/>
        </w:rPr>
      </w:pPr>
      <w:r w:rsidRPr="00B778A5">
        <w:rPr>
          <w:b/>
          <w:bCs/>
        </w:rPr>
        <w:t xml:space="preserve">Elle consiste à chauffer 1h à 70°C pendant 3 jours consécutifs et à 24h d’intervalle les objets à stériliser. D’après TYNDALL, lors du premier chauffage, les spores évoluent et amincissent leur enveloppe. Elles deviennent plus sensibles à la chaleur et sont détruites au deuxième chauffage. Le troisième chauffage est destiné à détruire les spores à évolution lente. </w:t>
      </w:r>
    </w:p>
    <w:p w:rsidR="00B778A5" w:rsidRDefault="00B778A5" w:rsidP="00B778A5">
      <w:pPr>
        <w:pStyle w:val="Default"/>
        <w:numPr>
          <w:ilvl w:val="0"/>
          <w:numId w:val="4"/>
        </w:numPr>
        <w:rPr>
          <w:rFonts w:asciiTheme="majorBidi" w:hAnsiTheme="majorBidi" w:cstheme="majorBidi"/>
          <w:sz w:val="26"/>
          <w:szCs w:val="26"/>
        </w:rPr>
      </w:pPr>
      <w:r w:rsidRPr="00761CDC">
        <w:rPr>
          <w:rFonts w:asciiTheme="majorBidi" w:hAnsiTheme="majorBidi" w:cstheme="majorBidi"/>
          <w:b/>
          <w:bCs/>
          <w:sz w:val="26"/>
          <w:szCs w:val="26"/>
        </w:rPr>
        <w:t>Mécanisme d’action de l’oxyde d’</w:t>
      </w:r>
      <w:proofErr w:type="spellStart"/>
      <w:r w:rsidRPr="00761CDC">
        <w:rPr>
          <w:rFonts w:asciiTheme="majorBidi" w:hAnsiTheme="majorBidi" w:cstheme="majorBidi"/>
          <w:b/>
          <w:bCs/>
          <w:sz w:val="26"/>
          <w:szCs w:val="26"/>
        </w:rPr>
        <w:t>éthyléne</w:t>
      </w:r>
      <w:proofErr w:type="spellEnd"/>
      <w:r w:rsidRPr="00761CDC">
        <w:rPr>
          <w:rFonts w:asciiTheme="majorBidi" w:hAnsiTheme="majorBidi" w:cstheme="majorBidi"/>
          <w:sz w:val="26"/>
          <w:szCs w:val="26"/>
        </w:rPr>
        <w:t> </w:t>
      </w:r>
      <w:r>
        <w:rPr>
          <w:rFonts w:asciiTheme="majorBidi" w:hAnsiTheme="majorBidi" w:cstheme="majorBidi"/>
          <w:b/>
          <w:bCs/>
          <w:sz w:val="26"/>
          <w:szCs w:val="26"/>
        </w:rPr>
        <w:t>(1 pt</w:t>
      </w:r>
      <w:r w:rsidRPr="009F205E">
        <w:rPr>
          <w:rFonts w:asciiTheme="majorBidi" w:hAnsiTheme="majorBidi" w:cstheme="majorBidi"/>
          <w:b/>
          <w:bCs/>
          <w:sz w:val="26"/>
          <w:szCs w:val="26"/>
        </w:rPr>
        <w:t>)</w:t>
      </w:r>
      <w:r>
        <w:rPr>
          <w:rFonts w:asciiTheme="majorBidi" w:hAnsiTheme="majorBidi" w:cstheme="majorBidi"/>
          <w:sz w:val="26"/>
          <w:szCs w:val="26"/>
        </w:rPr>
        <w:t xml:space="preserve"> </w:t>
      </w:r>
      <w:r w:rsidRPr="00761CDC">
        <w:rPr>
          <w:rFonts w:asciiTheme="majorBidi" w:hAnsiTheme="majorBidi" w:cstheme="majorBidi"/>
          <w:sz w:val="26"/>
          <w:szCs w:val="26"/>
        </w:rPr>
        <w:t xml:space="preserve">: </w:t>
      </w:r>
    </w:p>
    <w:p w:rsidR="00B778A5" w:rsidRDefault="00B778A5" w:rsidP="00B778A5">
      <w:pPr>
        <w:pStyle w:val="Default"/>
        <w:ind w:left="720"/>
        <w:rPr>
          <w:rFonts w:asciiTheme="majorBidi" w:hAnsiTheme="majorBidi" w:cstheme="majorBidi"/>
          <w:sz w:val="26"/>
          <w:szCs w:val="26"/>
        </w:rPr>
      </w:pPr>
    </w:p>
    <w:p w:rsidR="00B778A5" w:rsidRPr="00B778A5" w:rsidRDefault="00B778A5" w:rsidP="00B778A5">
      <w:pPr>
        <w:ind w:firstLine="0"/>
        <w:jc w:val="left"/>
        <w:rPr>
          <w:b/>
          <w:bCs/>
        </w:rPr>
      </w:pPr>
      <w:r w:rsidRPr="00B778A5">
        <w:rPr>
          <w:b/>
          <w:bCs/>
        </w:rPr>
        <w:t xml:space="preserve">Il présente un large spectre d’activité bactéricide, fongicide, virucide et </w:t>
      </w:r>
      <w:proofErr w:type="spellStart"/>
      <w:r w:rsidRPr="00B778A5">
        <w:rPr>
          <w:b/>
          <w:bCs/>
        </w:rPr>
        <w:t>sporicide</w:t>
      </w:r>
      <w:proofErr w:type="spellEnd"/>
      <w:r w:rsidRPr="00B778A5">
        <w:rPr>
          <w:b/>
          <w:bCs/>
        </w:rPr>
        <w:t xml:space="preserve"> il agit par alkylation des groupements fonctionnels des micro-organismes.</w:t>
      </w:r>
    </w:p>
    <w:p w:rsidR="00B778A5" w:rsidRDefault="00B778A5" w:rsidP="00973493">
      <w:pPr>
        <w:ind w:firstLine="0"/>
        <w:rPr>
          <w:rFonts w:asciiTheme="majorBidi" w:hAnsiTheme="majorBidi" w:cstheme="majorBidi"/>
          <w:b/>
          <w:bCs/>
          <w:sz w:val="24"/>
          <w:szCs w:val="24"/>
        </w:rPr>
      </w:pPr>
    </w:p>
    <w:p w:rsidR="00973493" w:rsidRDefault="00973493" w:rsidP="00973493">
      <w:pPr>
        <w:ind w:firstLine="0"/>
        <w:rPr>
          <w:rFonts w:asciiTheme="majorBidi" w:hAnsiTheme="majorBidi" w:cstheme="majorBidi"/>
          <w:b/>
          <w:bCs/>
          <w:sz w:val="24"/>
          <w:szCs w:val="24"/>
        </w:rPr>
      </w:pPr>
      <w:r w:rsidRPr="00194A67">
        <w:rPr>
          <w:rFonts w:asciiTheme="majorBidi" w:hAnsiTheme="majorBidi" w:cstheme="majorBidi"/>
          <w:b/>
          <w:bCs/>
          <w:sz w:val="24"/>
          <w:szCs w:val="24"/>
        </w:rPr>
        <w:lastRenderedPageBreak/>
        <w:t>Exercice</w:t>
      </w:r>
      <w:r>
        <w:rPr>
          <w:rFonts w:asciiTheme="majorBidi" w:hAnsiTheme="majorBidi" w:cstheme="majorBidi"/>
          <w:b/>
          <w:bCs/>
          <w:sz w:val="24"/>
          <w:szCs w:val="24"/>
        </w:rPr>
        <w:t xml:space="preserve"> 4</w:t>
      </w:r>
      <w:r w:rsidR="00065931">
        <w:rPr>
          <w:rFonts w:asciiTheme="majorBidi" w:hAnsiTheme="majorBidi" w:cstheme="majorBidi"/>
          <w:b/>
          <w:bCs/>
          <w:sz w:val="24"/>
          <w:szCs w:val="24"/>
        </w:rPr>
        <w:t> :</w:t>
      </w:r>
      <w:r w:rsidR="008806FC">
        <w:rPr>
          <w:rFonts w:asciiTheme="majorBidi" w:hAnsiTheme="majorBidi" w:cstheme="majorBidi"/>
          <w:b/>
          <w:bCs/>
          <w:sz w:val="24"/>
          <w:szCs w:val="24"/>
        </w:rPr>
        <w:t xml:space="preserve"> (1 pt)</w:t>
      </w:r>
    </w:p>
    <w:p w:rsidR="00973493" w:rsidRPr="00973493" w:rsidRDefault="00973493" w:rsidP="00973493">
      <w:pPr>
        <w:pStyle w:val="Paragraphedeliste"/>
        <w:numPr>
          <w:ilvl w:val="0"/>
          <w:numId w:val="6"/>
        </w:numPr>
        <w:rPr>
          <w:rFonts w:asciiTheme="majorBidi" w:hAnsiTheme="majorBidi" w:cstheme="majorBidi"/>
          <w:b/>
          <w:bCs/>
          <w:sz w:val="24"/>
          <w:szCs w:val="24"/>
        </w:rPr>
      </w:pPr>
      <w:r w:rsidRPr="008C55C7">
        <w:rPr>
          <w:rFonts w:asciiTheme="majorBidi" w:hAnsiTheme="majorBidi" w:cstheme="majorBidi"/>
          <w:b/>
          <w:bCs/>
          <w:sz w:val="24"/>
          <w:szCs w:val="24"/>
        </w:rPr>
        <w:t>A propos de l’opération pharmaceutique de filtration :</w:t>
      </w:r>
      <w:r>
        <w:rPr>
          <w:rFonts w:asciiTheme="majorBidi" w:hAnsiTheme="majorBidi" w:cstheme="majorBidi"/>
          <w:b/>
          <w:bCs/>
          <w:sz w:val="24"/>
          <w:szCs w:val="24"/>
        </w:rPr>
        <w:t xml:space="preserve"> (1 pts)</w:t>
      </w:r>
    </w:p>
    <w:p w:rsidR="00973493" w:rsidRDefault="00973493" w:rsidP="00973493">
      <w:pPr>
        <w:pStyle w:val="Paragraphedeliste"/>
        <w:numPr>
          <w:ilvl w:val="0"/>
          <w:numId w:val="5"/>
        </w:numPr>
        <w:rPr>
          <w:rFonts w:asciiTheme="majorBidi" w:hAnsiTheme="majorBidi" w:cstheme="majorBidi"/>
          <w:sz w:val="24"/>
          <w:szCs w:val="24"/>
        </w:rPr>
      </w:pPr>
      <w:r w:rsidRPr="0003459A">
        <w:rPr>
          <w:rFonts w:asciiTheme="majorBidi" w:hAnsiTheme="majorBidi" w:cstheme="majorBidi"/>
          <w:sz w:val="24"/>
          <w:szCs w:val="24"/>
        </w:rPr>
        <w:t>La filtration frontale consiste à faire passer l’ensemble du fluide perpendiculairement à travers le milieu filtrant. Le colmatage s'effectue ainsi beaucoup moins vite.</w:t>
      </w:r>
    </w:p>
    <w:p w:rsidR="00973493" w:rsidRPr="00B778A5" w:rsidRDefault="00973493" w:rsidP="00973493">
      <w:pPr>
        <w:pStyle w:val="Paragraphedeliste"/>
        <w:numPr>
          <w:ilvl w:val="0"/>
          <w:numId w:val="5"/>
        </w:numPr>
        <w:rPr>
          <w:rFonts w:asciiTheme="majorBidi" w:hAnsiTheme="majorBidi" w:cstheme="majorBidi"/>
          <w:b/>
          <w:bCs/>
          <w:sz w:val="24"/>
          <w:szCs w:val="24"/>
        </w:rPr>
      </w:pPr>
      <w:r w:rsidRPr="00B778A5">
        <w:rPr>
          <w:rFonts w:asciiTheme="majorBidi" w:hAnsiTheme="majorBidi" w:cstheme="majorBidi"/>
          <w:b/>
          <w:bCs/>
          <w:sz w:val="24"/>
          <w:szCs w:val="24"/>
        </w:rPr>
        <w:t xml:space="preserve">La filtration stérilisante consiste à retenir et arrêter les très fines particules en particulier les micro-organismes. </w:t>
      </w:r>
    </w:p>
    <w:p w:rsidR="00973493" w:rsidRPr="0003459A" w:rsidRDefault="00973493" w:rsidP="00973493">
      <w:pPr>
        <w:pStyle w:val="Paragraphedeliste"/>
        <w:numPr>
          <w:ilvl w:val="0"/>
          <w:numId w:val="5"/>
        </w:numPr>
        <w:rPr>
          <w:rFonts w:asciiTheme="majorBidi" w:hAnsiTheme="majorBidi" w:cstheme="majorBidi"/>
          <w:sz w:val="24"/>
          <w:szCs w:val="24"/>
        </w:rPr>
      </w:pPr>
      <w:r w:rsidRPr="0003459A">
        <w:rPr>
          <w:rFonts w:asciiTheme="majorBidi" w:hAnsiTheme="majorBidi" w:cstheme="majorBidi"/>
          <w:sz w:val="24"/>
          <w:szCs w:val="24"/>
        </w:rPr>
        <w:t>Le filtre retient les particul</w:t>
      </w:r>
      <w:r>
        <w:rPr>
          <w:rFonts w:asciiTheme="majorBidi" w:hAnsiTheme="majorBidi" w:cstheme="majorBidi"/>
          <w:sz w:val="24"/>
          <w:szCs w:val="24"/>
        </w:rPr>
        <w:t>es dont la taille est inférieure</w:t>
      </w:r>
      <w:r w:rsidRPr="0003459A">
        <w:rPr>
          <w:rFonts w:asciiTheme="majorBidi" w:hAnsiTheme="majorBidi" w:cstheme="majorBidi"/>
          <w:sz w:val="24"/>
          <w:szCs w:val="24"/>
        </w:rPr>
        <w:t xml:space="preserve"> à celles des pores du réseau poreux filtrant. </w:t>
      </w:r>
    </w:p>
    <w:p w:rsidR="00733D89" w:rsidRPr="00973493" w:rsidRDefault="00973493" w:rsidP="00973493">
      <w:pPr>
        <w:pStyle w:val="Paragraphedeliste"/>
        <w:numPr>
          <w:ilvl w:val="0"/>
          <w:numId w:val="5"/>
        </w:numPr>
        <w:rPr>
          <w:rFonts w:asciiTheme="majorBidi" w:hAnsiTheme="majorBidi" w:cstheme="majorBidi"/>
          <w:sz w:val="24"/>
          <w:szCs w:val="24"/>
        </w:rPr>
      </w:pPr>
      <w:r w:rsidRPr="008C55C7">
        <w:rPr>
          <w:rFonts w:asciiTheme="majorBidi" w:hAnsiTheme="majorBidi" w:cstheme="majorBidi"/>
          <w:sz w:val="24"/>
          <w:szCs w:val="24"/>
        </w:rPr>
        <w:t>La technique tangentielle est réservée</w:t>
      </w:r>
      <w:r>
        <w:rPr>
          <w:rFonts w:asciiTheme="majorBidi" w:hAnsiTheme="majorBidi" w:cstheme="majorBidi"/>
          <w:sz w:val="24"/>
          <w:szCs w:val="24"/>
        </w:rPr>
        <w:t xml:space="preserve"> à la filtration de</w:t>
      </w:r>
      <w:r w:rsidRPr="008C55C7">
        <w:rPr>
          <w:rFonts w:asciiTheme="majorBidi" w:hAnsiTheme="majorBidi" w:cstheme="majorBidi"/>
          <w:sz w:val="24"/>
          <w:szCs w:val="24"/>
        </w:rPr>
        <w:t xml:space="preserve"> très petites particules d’une taille allant du nanomètre jusqu’au millimètre. </w:t>
      </w:r>
    </w:p>
    <w:p w:rsidR="00973493" w:rsidRDefault="00973493" w:rsidP="00973493">
      <w:pPr>
        <w:rPr>
          <w:rFonts w:asciiTheme="majorBidi" w:hAnsiTheme="majorBidi" w:cstheme="majorBidi"/>
          <w:b/>
          <w:bCs/>
          <w:sz w:val="24"/>
          <w:szCs w:val="24"/>
        </w:rPr>
      </w:pPr>
      <w:r w:rsidRPr="00973493">
        <w:rPr>
          <w:rFonts w:asciiTheme="majorBidi" w:hAnsiTheme="majorBidi" w:cstheme="majorBidi"/>
          <w:b/>
          <w:bCs/>
          <w:sz w:val="24"/>
          <w:szCs w:val="24"/>
        </w:rPr>
        <w:t xml:space="preserve">Exercice 5 : </w:t>
      </w:r>
      <w:r w:rsidR="008806FC">
        <w:rPr>
          <w:rFonts w:asciiTheme="majorBidi" w:hAnsiTheme="majorBidi" w:cstheme="majorBidi"/>
          <w:b/>
          <w:bCs/>
          <w:sz w:val="24"/>
          <w:szCs w:val="24"/>
        </w:rPr>
        <w:t>(5 pts)</w:t>
      </w:r>
    </w:p>
    <w:p w:rsidR="00C21247" w:rsidRDefault="00973493" w:rsidP="00BE2806">
      <w:pPr>
        <w:pStyle w:val="Paragraphedeliste"/>
        <w:numPr>
          <w:ilvl w:val="0"/>
          <w:numId w:val="8"/>
        </w:numPr>
        <w:rPr>
          <w:rFonts w:asciiTheme="majorBidi" w:hAnsiTheme="majorBidi" w:cstheme="majorBidi"/>
          <w:b/>
          <w:bCs/>
          <w:sz w:val="24"/>
          <w:szCs w:val="24"/>
        </w:rPr>
      </w:pPr>
      <w:r w:rsidRPr="00973493">
        <w:rPr>
          <w:rFonts w:asciiTheme="majorBidi" w:hAnsiTheme="majorBidi" w:cstheme="majorBidi"/>
          <w:sz w:val="24"/>
          <w:szCs w:val="24"/>
        </w:rPr>
        <w:t xml:space="preserve">De quoi dépend la stabilité d’une émulsion </w:t>
      </w:r>
      <w:r w:rsidRPr="00973493">
        <w:rPr>
          <w:rFonts w:asciiTheme="majorBidi" w:hAnsiTheme="majorBidi" w:cstheme="majorBidi"/>
          <w:b/>
          <w:bCs/>
          <w:sz w:val="24"/>
          <w:szCs w:val="24"/>
        </w:rPr>
        <w:t>(3 pts)</w:t>
      </w:r>
    </w:p>
    <w:p w:rsidR="00B778A5" w:rsidRPr="00B778A5" w:rsidRDefault="00B778A5" w:rsidP="00B778A5">
      <w:pPr>
        <w:rPr>
          <w:rFonts w:asciiTheme="majorBidi" w:hAnsiTheme="majorBidi" w:cstheme="majorBidi"/>
          <w:b/>
          <w:bCs/>
          <w:sz w:val="24"/>
          <w:szCs w:val="24"/>
        </w:rPr>
      </w:pPr>
      <w:r w:rsidRPr="00B778A5">
        <w:rPr>
          <w:b/>
          <w:bCs/>
        </w:rPr>
        <w:t xml:space="preserve">la stabilité d'une émulsion dépend : </w:t>
      </w:r>
      <w:r w:rsidRPr="00B778A5">
        <w:rPr>
          <w:b/>
          <w:bCs/>
        </w:rPr>
        <w:sym w:font="Symbol" w:char="F0B7"/>
      </w:r>
      <w:r w:rsidRPr="00B778A5">
        <w:rPr>
          <w:b/>
          <w:bCs/>
        </w:rPr>
        <w:t xml:space="preserve"> de la tension </w:t>
      </w:r>
      <w:proofErr w:type="spellStart"/>
      <w:r w:rsidRPr="00B778A5">
        <w:rPr>
          <w:b/>
          <w:bCs/>
        </w:rPr>
        <w:t>interfaciale</w:t>
      </w:r>
      <w:proofErr w:type="spellEnd"/>
      <w:r w:rsidRPr="00B778A5">
        <w:rPr>
          <w:b/>
          <w:bCs/>
        </w:rPr>
        <w:t xml:space="preserve"> entre les phases dispersée et dispersante (faible) </w:t>
      </w:r>
      <w:r w:rsidRPr="00B778A5">
        <w:rPr>
          <w:b/>
          <w:bCs/>
        </w:rPr>
        <w:sym w:font="Symbol" w:char="F0B7"/>
      </w:r>
      <w:r w:rsidRPr="00B778A5">
        <w:rPr>
          <w:b/>
          <w:bCs/>
        </w:rPr>
        <w:t xml:space="preserve"> des tensioactifs utilisés (favorisant la répulsion entre les gouttelettes) </w:t>
      </w:r>
      <w:r w:rsidRPr="00B778A5">
        <w:rPr>
          <w:b/>
          <w:bCs/>
        </w:rPr>
        <w:sym w:font="Symbol" w:char="F0B7"/>
      </w:r>
      <w:r w:rsidRPr="00B778A5">
        <w:rPr>
          <w:b/>
          <w:bCs/>
        </w:rPr>
        <w:t xml:space="preserve"> de la taille des gouttelettes (homogène, faible diamètre) </w:t>
      </w:r>
      <w:r w:rsidRPr="00B778A5">
        <w:rPr>
          <w:b/>
          <w:bCs/>
        </w:rPr>
        <w:sym w:font="Symbol" w:char="F0B7"/>
      </w:r>
      <w:r w:rsidRPr="00B778A5">
        <w:rPr>
          <w:b/>
          <w:bCs/>
        </w:rPr>
        <w:t xml:space="preserve"> de la viscosité de la phase dispersante (élevée)</w:t>
      </w:r>
    </w:p>
    <w:p w:rsidR="00C6122B" w:rsidRPr="00B778A5" w:rsidRDefault="00C6122B" w:rsidP="00BE2806">
      <w:pPr>
        <w:pStyle w:val="Paragraphedeliste"/>
        <w:numPr>
          <w:ilvl w:val="0"/>
          <w:numId w:val="8"/>
        </w:numPr>
        <w:rPr>
          <w:rFonts w:asciiTheme="majorBidi" w:hAnsiTheme="majorBidi" w:cstheme="majorBidi"/>
          <w:sz w:val="24"/>
          <w:szCs w:val="24"/>
        </w:rPr>
      </w:pPr>
      <w:r w:rsidRPr="008B47EC">
        <w:rPr>
          <w:rFonts w:asciiTheme="majorBidi" w:hAnsiTheme="majorBidi" w:cstheme="majorBidi"/>
          <w:sz w:val="24"/>
          <w:szCs w:val="24"/>
        </w:rPr>
        <w:t xml:space="preserve">Décrire une méthode de préparation d’une suspension </w:t>
      </w:r>
      <w:r w:rsidR="008058CF" w:rsidRPr="008B47EC">
        <w:rPr>
          <w:rFonts w:asciiTheme="majorBidi" w:hAnsiTheme="majorBidi" w:cstheme="majorBidi"/>
          <w:b/>
          <w:bCs/>
          <w:sz w:val="24"/>
          <w:szCs w:val="24"/>
        </w:rPr>
        <w:t>(2 pts)</w:t>
      </w:r>
    </w:p>
    <w:p w:rsidR="00B778A5" w:rsidRDefault="00B778A5" w:rsidP="00B778A5">
      <w:pPr>
        <w:rPr>
          <w:b/>
          <w:bCs/>
        </w:rPr>
      </w:pPr>
      <w:r w:rsidRPr="00B778A5">
        <w:rPr>
          <w:b/>
          <w:bCs/>
        </w:rPr>
        <w:t xml:space="preserve">Par voie chimique : la division se fait par précipitation du solide en fines particules au sein d’un liquide. Toutes les réactions de précipitation de la chimie sont utilisables mais, pour avoir des particules de finesse et de forme cristalline déterminées, il faut opérer dans des conditions rigoureusement définies de concentration, d’agitation et de température. </w:t>
      </w:r>
    </w:p>
    <w:p w:rsidR="00FA400F" w:rsidRPr="00B778A5" w:rsidRDefault="00FA400F" w:rsidP="00B778A5">
      <w:pPr>
        <w:rPr>
          <w:b/>
          <w:bCs/>
        </w:rPr>
      </w:pPr>
      <w:r>
        <w:rPr>
          <w:b/>
          <w:bCs/>
        </w:rPr>
        <w:t>Ou,</w:t>
      </w:r>
    </w:p>
    <w:p w:rsidR="00B778A5" w:rsidRPr="00B778A5" w:rsidRDefault="00B778A5" w:rsidP="00B778A5">
      <w:pPr>
        <w:rPr>
          <w:rFonts w:asciiTheme="majorBidi" w:hAnsiTheme="majorBidi" w:cstheme="majorBidi"/>
          <w:b/>
          <w:bCs/>
          <w:sz w:val="24"/>
          <w:szCs w:val="24"/>
        </w:rPr>
      </w:pPr>
      <w:r w:rsidRPr="00B778A5">
        <w:rPr>
          <w:b/>
          <w:bCs/>
        </w:rPr>
        <w:t xml:space="preserve">Par voie physique À l’officine, une suspension peut être réalisée dans un mortier. Dans le cas le plus général, on a recours : *soit au </w:t>
      </w:r>
      <w:proofErr w:type="spellStart"/>
      <w:r w:rsidRPr="00B778A5">
        <w:rPr>
          <w:b/>
          <w:bCs/>
        </w:rPr>
        <w:t>microbroyage</w:t>
      </w:r>
      <w:proofErr w:type="spellEnd"/>
      <w:r w:rsidRPr="00B778A5">
        <w:rPr>
          <w:b/>
          <w:bCs/>
        </w:rPr>
        <w:t xml:space="preserve"> en milieu liquide à l’aide de broyeurs à boulets ou à billes de verre *soit au </w:t>
      </w:r>
      <w:proofErr w:type="spellStart"/>
      <w:r w:rsidRPr="00B778A5">
        <w:rPr>
          <w:b/>
          <w:bCs/>
        </w:rPr>
        <w:t>microbroyage</w:t>
      </w:r>
      <w:proofErr w:type="spellEnd"/>
      <w:r w:rsidRPr="00B778A5">
        <w:rPr>
          <w:b/>
          <w:bCs/>
        </w:rPr>
        <w:t xml:space="preserve"> à sec. Les appareils les plus utilisés dans ce cas sont les </w:t>
      </w:r>
      <w:proofErr w:type="spellStart"/>
      <w:r w:rsidRPr="00B778A5">
        <w:rPr>
          <w:b/>
          <w:bCs/>
        </w:rPr>
        <w:t>microniseurs</w:t>
      </w:r>
      <w:proofErr w:type="spellEnd"/>
      <w:r w:rsidRPr="00B778A5">
        <w:rPr>
          <w:b/>
          <w:bCs/>
        </w:rPr>
        <w:t xml:space="preserve"> à air comprimé.</w:t>
      </w:r>
    </w:p>
    <w:sectPr w:rsidR="00B778A5" w:rsidRPr="00B778A5" w:rsidSect="00733D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67C1A"/>
    <w:multiLevelType w:val="hybridMultilevel"/>
    <w:tmpl w:val="50204076"/>
    <w:lvl w:ilvl="0" w:tplc="72F0FD4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CD53DFD"/>
    <w:multiLevelType w:val="hybridMultilevel"/>
    <w:tmpl w:val="A8CE8F24"/>
    <w:lvl w:ilvl="0" w:tplc="CC4E5808">
      <w:start w:val="1"/>
      <w:numFmt w:val="decimal"/>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25835CCC"/>
    <w:multiLevelType w:val="hybridMultilevel"/>
    <w:tmpl w:val="5FC8E3EA"/>
    <w:lvl w:ilvl="0" w:tplc="49629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85104F"/>
    <w:multiLevelType w:val="hybridMultilevel"/>
    <w:tmpl w:val="1DC46032"/>
    <w:lvl w:ilvl="0" w:tplc="C086836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B809C1"/>
    <w:multiLevelType w:val="hybridMultilevel"/>
    <w:tmpl w:val="9F8AEFB8"/>
    <w:lvl w:ilvl="0" w:tplc="0C26819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7E7787C"/>
    <w:multiLevelType w:val="hybridMultilevel"/>
    <w:tmpl w:val="AA42137C"/>
    <w:lvl w:ilvl="0" w:tplc="5720BC98">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81734BB"/>
    <w:multiLevelType w:val="hybridMultilevel"/>
    <w:tmpl w:val="C3263A9E"/>
    <w:lvl w:ilvl="0" w:tplc="1990ED06">
      <w:start w:val="1"/>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7">
    <w:nsid w:val="3A644DD1"/>
    <w:multiLevelType w:val="hybridMultilevel"/>
    <w:tmpl w:val="45A42650"/>
    <w:lvl w:ilvl="0" w:tplc="25ACBB62">
      <w:start w:val="1"/>
      <w:numFmt w:val="low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8">
    <w:nsid w:val="3D6811D2"/>
    <w:multiLevelType w:val="hybridMultilevel"/>
    <w:tmpl w:val="2B861B90"/>
    <w:lvl w:ilvl="0" w:tplc="A7E691C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9B315B7"/>
    <w:multiLevelType w:val="hybridMultilevel"/>
    <w:tmpl w:val="17F096AA"/>
    <w:lvl w:ilvl="0" w:tplc="5CA2174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797CC5"/>
    <w:multiLevelType w:val="hybridMultilevel"/>
    <w:tmpl w:val="182CD700"/>
    <w:lvl w:ilvl="0" w:tplc="7A6E35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6E163D"/>
    <w:multiLevelType w:val="hybridMultilevel"/>
    <w:tmpl w:val="2D927F62"/>
    <w:lvl w:ilvl="0" w:tplc="E08CF504">
      <w:start w:val="1"/>
      <w:numFmt w:val="decimal"/>
      <w:lvlText w:val="%1-"/>
      <w:lvlJc w:val="left"/>
      <w:pPr>
        <w:ind w:left="757" w:hanging="36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12">
    <w:nsid w:val="68374586"/>
    <w:multiLevelType w:val="hybridMultilevel"/>
    <w:tmpl w:val="4624595E"/>
    <w:lvl w:ilvl="0" w:tplc="AB2C2C84">
      <w:start w:val="1"/>
      <w:numFmt w:val="decimal"/>
      <w:lvlText w:val="%1."/>
      <w:lvlJc w:val="left"/>
      <w:pPr>
        <w:ind w:left="720" w:hanging="360"/>
      </w:pPr>
      <w:rPr>
        <w:rFonts w:hint="default"/>
        <w:b/>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E252860"/>
    <w:multiLevelType w:val="hybridMultilevel"/>
    <w:tmpl w:val="43522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0"/>
  </w:num>
  <w:num w:numId="4">
    <w:abstractNumId w:val="2"/>
  </w:num>
  <w:num w:numId="5">
    <w:abstractNumId w:val="7"/>
  </w:num>
  <w:num w:numId="6">
    <w:abstractNumId w:val="4"/>
  </w:num>
  <w:num w:numId="7">
    <w:abstractNumId w:val="11"/>
  </w:num>
  <w:num w:numId="8">
    <w:abstractNumId w:val="3"/>
  </w:num>
  <w:num w:numId="9">
    <w:abstractNumId w:val="0"/>
  </w:num>
  <w:num w:numId="10">
    <w:abstractNumId w:val="5"/>
  </w:num>
  <w:num w:numId="11">
    <w:abstractNumId w:val="13"/>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89"/>
    <w:rsid w:val="00065931"/>
    <w:rsid w:val="000C6522"/>
    <w:rsid w:val="005D1FBF"/>
    <w:rsid w:val="00733D89"/>
    <w:rsid w:val="008058CF"/>
    <w:rsid w:val="008806FC"/>
    <w:rsid w:val="008B47EC"/>
    <w:rsid w:val="00973493"/>
    <w:rsid w:val="00A14C17"/>
    <w:rsid w:val="00A55237"/>
    <w:rsid w:val="00B778A5"/>
    <w:rsid w:val="00BE2806"/>
    <w:rsid w:val="00C21247"/>
    <w:rsid w:val="00C6122B"/>
    <w:rsid w:val="00D32A56"/>
    <w:rsid w:val="00D774A3"/>
    <w:rsid w:val="00E844E7"/>
    <w:rsid w:val="00FA40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3909C-689A-4135-878C-D43E0044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89"/>
    <w:pPr>
      <w:spacing w:line="360" w:lineRule="auto"/>
      <w:ind w:firstLine="35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3D89"/>
    <w:pPr>
      <w:tabs>
        <w:tab w:val="center" w:pos="4536"/>
        <w:tab w:val="right" w:pos="9072"/>
      </w:tabs>
      <w:spacing w:after="0" w:line="240" w:lineRule="auto"/>
    </w:pPr>
  </w:style>
  <w:style w:type="character" w:customStyle="1" w:styleId="En-tteCar">
    <w:name w:val="En-tête Car"/>
    <w:basedOn w:val="Policepardfaut"/>
    <w:link w:val="En-tte"/>
    <w:uiPriority w:val="99"/>
    <w:rsid w:val="00733D89"/>
  </w:style>
  <w:style w:type="paragraph" w:styleId="Paragraphedeliste">
    <w:name w:val="List Paragraph"/>
    <w:basedOn w:val="Normal"/>
    <w:uiPriority w:val="34"/>
    <w:qFormat/>
    <w:rsid w:val="00733D89"/>
    <w:pPr>
      <w:ind w:left="720"/>
      <w:contextualSpacing/>
    </w:pPr>
  </w:style>
  <w:style w:type="paragraph" w:customStyle="1" w:styleId="Default">
    <w:name w:val="Default"/>
    <w:rsid w:val="00733D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4803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Djana Info</dc:creator>
  <cp:keywords/>
  <dc:description/>
  <cp:lastModifiedBy>lenovo</cp:lastModifiedBy>
  <cp:revision>2</cp:revision>
  <dcterms:created xsi:type="dcterms:W3CDTF">2025-06-01T13:22:00Z</dcterms:created>
  <dcterms:modified xsi:type="dcterms:W3CDTF">2025-06-01T13:22:00Z</dcterms:modified>
</cp:coreProperties>
</file>